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85455" w14:textId="77777777" w:rsidR="00A27E78" w:rsidRPr="00E84CFD" w:rsidRDefault="00A27E78">
      <w:pPr>
        <w:rPr>
          <w:rFonts w:ascii="Bookman Old Style" w:hAnsi="Bookman Old Style"/>
        </w:rPr>
      </w:pPr>
    </w:p>
    <w:p w14:paraId="3DD80B6F" w14:textId="02BE445A" w:rsidR="00C70909" w:rsidRPr="00E84CFD" w:rsidRDefault="00C70909" w:rsidP="00C70909">
      <w:pPr>
        <w:jc w:val="center"/>
        <w:rPr>
          <w:rFonts w:ascii="Bookman Old Style" w:hAnsi="Bookman Old Style"/>
          <w:b/>
        </w:rPr>
      </w:pPr>
      <w:r w:rsidRPr="00E84CFD">
        <w:rPr>
          <w:rFonts w:ascii="Bookman Old Style" w:hAnsi="Bookman Old Style"/>
          <w:b/>
        </w:rPr>
        <w:t>CONCOURS D’ENTREE 20</w:t>
      </w:r>
      <w:r w:rsidR="006C1CD8">
        <w:rPr>
          <w:rFonts w:ascii="Bookman Old Style" w:hAnsi="Bookman Old Style"/>
          <w:b/>
        </w:rPr>
        <w:t>21</w:t>
      </w:r>
    </w:p>
    <w:p w14:paraId="243B70E6" w14:textId="77777777" w:rsidR="00C70909" w:rsidRPr="00E84CFD" w:rsidRDefault="00C70909" w:rsidP="00C70909">
      <w:pPr>
        <w:jc w:val="center"/>
        <w:rPr>
          <w:rFonts w:ascii="Bookman Old Style" w:hAnsi="Bookman Old Style"/>
          <w:b/>
        </w:rPr>
      </w:pPr>
      <w:r w:rsidRPr="00E84CFD">
        <w:rPr>
          <w:rFonts w:ascii="Bookman Old Style" w:hAnsi="Bookman Old Style"/>
          <w:b/>
        </w:rPr>
        <w:t>ECOLE DE JOURNALISME</w:t>
      </w:r>
    </w:p>
    <w:p w14:paraId="1766FDA6" w14:textId="77777777" w:rsidR="00C70909" w:rsidRPr="00E84CFD" w:rsidRDefault="00C70909" w:rsidP="00C70909">
      <w:pPr>
        <w:rPr>
          <w:rFonts w:ascii="Bookman Old Style" w:hAnsi="Bookman Old Style"/>
        </w:rPr>
      </w:pPr>
    </w:p>
    <w:p w14:paraId="651D97D4" w14:textId="77777777" w:rsidR="00C70909" w:rsidRPr="00E84CFD" w:rsidRDefault="00C70909" w:rsidP="00C70909">
      <w:pPr>
        <w:rPr>
          <w:rFonts w:ascii="Bookman Old Style" w:hAnsi="Bookman Old Style"/>
        </w:rPr>
      </w:pPr>
      <w:r w:rsidRPr="00E84CFD">
        <w:rPr>
          <w:rFonts w:ascii="Bookman Old Style" w:hAnsi="Bookman Old Style"/>
        </w:rPr>
        <w:t xml:space="preserve">EPREUVE : </w:t>
      </w:r>
      <w:r w:rsidRPr="00E84CFD">
        <w:rPr>
          <w:rFonts w:ascii="Bookman Old Style" w:eastAsia="Times New Roman" w:hAnsi="Bookman Old Style" w:cs="Helvetica"/>
          <w:color w:val="222222"/>
          <w:lang w:eastAsia="fr-FR"/>
        </w:rPr>
        <w:t>Techniques rédactionnelles</w:t>
      </w:r>
    </w:p>
    <w:p w14:paraId="3B5687A4" w14:textId="77777777" w:rsidR="00C70909" w:rsidRPr="00E84CFD" w:rsidRDefault="007F1E74" w:rsidP="00C70909">
      <w:pPr>
        <w:shd w:val="clear" w:color="auto" w:fill="FFFFFF"/>
        <w:spacing w:after="0" w:line="240" w:lineRule="auto"/>
        <w:rPr>
          <w:rFonts w:ascii="Bookman Old Style" w:eastAsia="Times New Roman" w:hAnsi="Bookman Old Style" w:cs="Helvetica"/>
          <w:color w:val="222222"/>
          <w:lang w:eastAsia="fr-FR"/>
        </w:rPr>
      </w:pPr>
      <w:r w:rsidRPr="00E84CFD">
        <w:rPr>
          <w:rFonts w:ascii="Bookman Old Style" w:eastAsia="Times New Roman" w:hAnsi="Bookman Old Style" w:cs="Helvetica"/>
          <w:color w:val="222222"/>
          <w:lang w:eastAsia="fr-FR"/>
        </w:rPr>
        <w:t xml:space="preserve"> </w:t>
      </w:r>
    </w:p>
    <w:p w14:paraId="019E8070" w14:textId="77777777" w:rsidR="007F1E74" w:rsidRPr="00E84CFD" w:rsidRDefault="007F1E74" w:rsidP="007F1E74">
      <w:pPr>
        <w:rPr>
          <w:rFonts w:ascii="Bookman Old Style" w:hAnsi="Bookman Old Style"/>
        </w:rPr>
      </w:pPr>
      <w:r w:rsidRPr="00E84CFD">
        <w:rPr>
          <w:rFonts w:ascii="Bookman Old Style" w:hAnsi="Bookman Old Style"/>
        </w:rPr>
        <w:t xml:space="preserve">Durée : </w:t>
      </w:r>
      <w:r w:rsidR="00CA125E">
        <w:rPr>
          <w:rFonts w:ascii="Bookman Old Style" w:hAnsi="Bookman Old Style"/>
        </w:rPr>
        <w:t>30</w:t>
      </w:r>
      <w:r w:rsidRPr="00E84CFD">
        <w:rPr>
          <w:rFonts w:ascii="Bookman Old Style" w:hAnsi="Bookman Old Style"/>
        </w:rPr>
        <w:t xml:space="preserve"> minutes</w:t>
      </w:r>
    </w:p>
    <w:p w14:paraId="38B204B5" w14:textId="77777777" w:rsidR="007F1E74" w:rsidRPr="00E84CFD" w:rsidRDefault="007F1E74" w:rsidP="007F1E74">
      <w:pPr>
        <w:rPr>
          <w:rFonts w:ascii="Bookman Old Style" w:hAnsi="Bookman Old Style"/>
        </w:rPr>
      </w:pPr>
      <w:r w:rsidRPr="00E84CFD">
        <w:rPr>
          <w:rFonts w:ascii="Bookman Old Style" w:hAnsi="Bookman Old Style"/>
        </w:rPr>
        <w:t>Barème : / 20 points</w:t>
      </w:r>
    </w:p>
    <w:p w14:paraId="46F97BC0" w14:textId="3E43BAC3" w:rsidR="00C70909" w:rsidRPr="009B7E25" w:rsidRDefault="007F1E74" w:rsidP="009B7E25">
      <w:pPr>
        <w:rPr>
          <w:rFonts w:ascii="Bookman Old Style" w:hAnsi="Bookman Old Style"/>
        </w:rPr>
      </w:pPr>
      <w:r w:rsidRPr="00E84CFD">
        <w:rPr>
          <w:rFonts w:ascii="Bookman Old Style" w:hAnsi="Bookman Old Style"/>
        </w:rPr>
        <w:t>Coef : 1</w:t>
      </w:r>
    </w:p>
    <w:p w14:paraId="6C0D4452" w14:textId="77777777" w:rsidR="00C70909" w:rsidRPr="00BA1445" w:rsidRDefault="00C70909" w:rsidP="00BA1445">
      <w:pPr>
        <w:shd w:val="clear" w:color="auto" w:fill="FFFFFF"/>
        <w:spacing w:after="0" w:line="240" w:lineRule="auto"/>
        <w:rPr>
          <w:rFonts w:ascii="Bookman Old Style" w:eastAsia="Times New Roman" w:hAnsi="Bookman Old Style" w:cs="Helvetica"/>
          <w:color w:val="222222"/>
          <w:lang w:eastAsia="fr-FR"/>
        </w:rPr>
      </w:pPr>
      <w:r w:rsidRPr="00BA1445">
        <w:rPr>
          <w:rFonts w:ascii="Bookman Old Style" w:eastAsia="Times New Roman" w:hAnsi="Bookman Old Style" w:cs="Helvetica"/>
          <w:color w:val="222222"/>
          <w:lang w:eastAsia="fr-FR"/>
        </w:rPr>
        <w:t>Synthèse articulée</w:t>
      </w:r>
      <w:r w:rsidR="00CA125E">
        <w:rPr>
          <w:rFonts w:ascii="Bookman Old Style" w:eastAsia="Times New Roman" w:hAnsi="Bookman Old Style" w:cs="Helvetica"/>
          <w:color w:val="222222"/>
          <w:lang w:eastAsia="fr-FR"/>
        </w:rPr>
        <w:t> </w:t>
      </w:r>
    </w:p>
    <w:p w14:paraId="1147117D" w14:textId="77777777" w:rsidR="007F1E74" w:rsidRPr="00E84CFD" w:rsidRDefault="007F1E74" w:rsidP="00C70909">
      <w:pPr>
        <w:shd w:val="clear" w:color="auto" w:fill="FFFFFF"/>
        <w:spacing w:after="0" w:line="240" w:lineRule="auto"/>
        <w:rPr>
          <w:rFonts w:ascii="Bookman Old Style" w:eastAsia="Times New Roman" w:hAnsi="Bookman Old Style" w:cs="Helvetica"/>
          <w:color w:val="222222"/>
          <w:lang w:eastAsia="fr-FR"/>
        </w:rPr>
      </w:pPr>
    </w:p>
    <w:p w14:paraId="76FD2C00" w14:textId="419E881A" w:rsidR="00560BAB" w:rsidRDefault="00560BAB" w:rsidP="00560BAB">
      <w:pPr>
        <w:autoSpaceDE w:val="0"/>
        <w:autoSpaceDN w:val="0"/>
        <w:adjustRightInd w:val="0"/>
        <w:spacing w:after="0" w:line="240" w:lineRule="auto"/>
        <w:jc w:val="both"/>
        <w:rPr>
          <w:rFonts w:ascii="Bookman Old Style" w:hAnsi="Bookman Old Style" w:cs="DINOT-Regular"/>
          <w:b/>
          <w:bCs/>
        </w:rPr>
      </w:pPr>
      <w:r>
        <w:rPr>
          <w:rFonts w:ascii="Bookman Old Style" w:hAnsi="Bookman Old Style" w:cs="DINOT-Regular"/>
          <w:b/>
          <w:bCs/>
        </w:rPr>
        <w:t>Après avoir proposé un titre au texte ci-dessous, résume</w:t>
      </w:r>
      <w:r w:rsidR="00EF79C2">
        <w:rPr>
          <w:rFonts w:ascii="Bookman Old Style" w:hAnsi="Bookman Old Style" w:cs="DINOT-Regular"/>
          <w:b/>
          <w:bCs/>
        </w:rPr>
        <w:t>z</w:t>
      </w:r>
      <w:r>
        <w:rPr>
          <w:rFonts w:ascii="Bookman Old Style" w:hAnsi="Bookman Old Style" w:cs="DINOT-Regular"/>
          <w:b/>
          <w:bCs/>
        </w:rPr>
        <w:t xml:space="preserve">-le en cent (100) mots. </w:t>
      </w:r>
    </w:p>
    <w:p w14:paraId="31991CE5" w14:textId="656072F9" w:rsidR="00BA1445" w:rsidRPr="00BA1445" w:rsidRDefault="00BA1445" w:rsidP="00BA1445">
      <w:pPr>
        <w:spacing w:after="0" w:line="240" w:lineRule="auto"/>
        <w:jc w:val="both"/>
        <w:rPr>
          <w:rFonts w:ascii="Bookman Old Style" w:hAnsi="Bookman Old Style"/>
        </w:rPr>
      </w:pPr>
      <w:r w:rsidRPr="00BA1445">
        <w:rPr>
          <w:rFonts w:ascii="Bookman Old Style" w:hAnsi="Bookman Old Style"/>
        </w:rPr>
        <w:t>Je crois que, pour nouer des rapports, y compris d’affaires, avec les Chinois, il faut d’abord rouvrir notre pensée : non pas cherche</w:t>
      </w:r>
      <w:r w:rsidR="00EF79C2">
        <w:rPr>
          <w:rFonts w:ascii="Bookman Old Style" w:hAnsi="Bookman Old Style"/>
        </w:rPr>
        <w:t>r</w:t>
      </w:r>
      <w:r w:rsidRPr="00BA1445">
        <w:rPr>
          <w:rFonts w:ascii="Bookman Old Style" w:hAnsi="Bookman Old Style"/>
        </w:rPr>
        <w:t xml:space="preserve"> à devenir Chinois, mais comprendre que les Chinois puissent avoir d’autre façon de procéder que celles auxquelles on s’attend d’ordinaire en Europe ; et que ces procédures – à la fois d’agir et de penser, les deux sont conjoints – loin d’être incongrues, étranges, ou mystérieuses, sont également intelligibles ; Les Chinois peuvent avoir effectivement un autre rapport à la vérité, au discours, à l’efficacité, que celui qui s’est façonné si continûment en Occident qu’il paraît souvent désormais aux Occidentaux comme allant de soi, au point que cette « évidence » n’est plus réfléchie. Si le culturel se joint ici à l’économique, ce n’est donc pas comme un vernis ajouté au prosaïsme des affaires ; mais parce que le second ne peut se concevoir sans le premier. On ne peut dissocier, en effet, gestion et réflexion : c’</w:t>
      </w:r>
      <w:r w:rsidR="00EF79C2" w:rsidRPr="00BA1445">
        <w:rPr>
          <w:rFonts w:ascii="Bookman Old Style" w:hAnsi="Bookman Old Style"/>
        </w:rPr>
        <w:t>est</w:t>
      </w:r>
      <w:r w:rsidRPr="00BA1445">
        <w:rPr>
          <w:rFonts w:ascii="Bookman Old Style" w:hAnsi="Bookman Old Style"/>
        </w:rPr>
        <w:t xml:space="preserve"> ce que j’ai choisi d’appeler ici, à l’articulation des deux, la « pratique » de la Chine ; et si je tiens à cette notion d’intelligible, c’est que je crois qu’il y va même d’une chance de notre époque : une fois dépassé l’ethnocentrisme, naguère si puissant encore de part et d’autre, en Chine comme en Occident, de pouvoir circuler enfin entre ces intelligibilités différentes et en enrichir la pensée commune – peut-être est—ce même cela l’ »intelligence » ?</w:t>
      </w:r>
    </w:p>
    <w:p w14:paraId="59F64712" w14:textId="77777777" w:rsidR="00BA1445" w:rsidRPr="00BA1445" w:rsidRDefault="00BA1445" w:rsidP="00BA1445">
      <w:pPr>
        <w:spacing w:after="0" w:line="240" w:lineRule="auto"/>
        <w:jc w:val="both"/>
        <w:rPr>
          <w:rFonts w:ascii="Bookman Old Style" w:hAnsi="Bookman Old Style"/>
        </w:rPr>
      </w:pPr>
    </w:p>
    <w:p w14:paraId="58115B20" w14:textId="356FA314" w:rsidR="00BA1445" w:rsidRPr="00BA1445" w:rsidRDefault="00BA1445" w:rsidP="00BA1445">
      <w:pPr>
        <w:spacing w:after="0" w:line="240" w:lineRule="auto"/>
        <w:jc w:val="both"/>
        <w:rPr>
          <w:rFonts w:ascii="Bookman Old Style" w:hAnsi="Bookman Old Style"/>
        </w:rPr>
      </w:pPr>
      <w:r w:rsidRPr="00BA1445">
        <w:rPr>
          <w:rFonts w:ascii="Bookman Old Style" w:hAnsi="Bookman Old Style"/>
        </w:rPr>
        <w:t>Quand la Chine s’éveillera, le monde tremblera… Le succès de cette formule ne tient pas seulement à la célébrité de son auteur Napoléon, mais aussi à sa capacité de rassembler les trois sentiments que l’Occident manifeste envers la Chine</w:t>
      </w:r>
      <w:r w:rsidR="00EF79C2">
        <w:rPr>
          <w:rFonts w:ascii="Bookman Old Style" w:hAnsi="Bookman Old Style"/>
        </w:rPr>
        <w:t>.</w:t>
      </w:r>
      <w:r w:rsidRPr="00BA1445">
        <w:rPr>
          <w:rFonts w:ascii="Bookman Old Style" w:hAnsi="Bookman Old Style"/>
        </w:rPr>
        <w:t xml:space="preserve"> la constatation de son retard présent alliée à la crainte de sa menace à venir, nourrie de l’admiration de sa grandeur passée. </w:t>
      </w:r>
    </w:p>
    <w:p w14:paraId="2CE1AF72" w14:textId="77777777" w:rsidR="00BA1445" w:rsidRPr="00BA1445" w:rsidRDefault="00BA1445" w:rsidP="00BA1445">
      <w:pPr>
        <w:spacing w:after="0" w:line="240" w:lineRule="auto"/>
        <w:jc w:val="both"/>
        <w:rPr>
          <w:rFonts w:ascii="Bookman Old Style" w:hAnsi="Bookman Old Style"/>
        </w:rPr>
      </w:pPr>
    </w:p>
    <w:p w14:paraId="69147391" w14:textId="16D000D2" w:rsidR="00BA1445" w:rsidRPr="00BA1445" w:rsidRDefault="00BA1445" w:rsidP="00BA1445">
      <w:pPr>
        <w:spacing w:after="0" w:line="240" w:lineRule="auto"/>
        <w:jc w:val="both"/>
        <w:rPr>
          <w:rFonts w:ascii="Bookman Old Style" w:hAnsi="Bookman Old Style"/>
        </w:rPr>
      </w:pPr>
      <w:r w:rsidRPr="00BA1445">
        <w:rPr>
          <w:rFonts w:ascii="Bookman Old Style" w:hAnsi="Bookman Old Style"/>
        </w:rPr>
        <w:t xml:space="preserve">Faut-il admirer la Chine, la craindre, la contenir ? Avant de se prononcer, il faut d’abord la comprendre. Et c’est là que le bât blesse. Les livres qui présentent la Chine remplissent les bibliothèques. Ils sont soit destinés au grand public, soit à une minorité cultivée, et de plus en plus à la clientèle grandissante des industriels et commerçants qui veulent y faire des affaires. Mais la plupart partagent la même caractéristique : celle de vouloir analyser la réalité chinoise avec les instruments intellectuels de l’Occident. </w:t>
      </w:r>
    </w:p>
    <w:p w14:paraId="50A262A2" w14:textId="77777777" w:rsidR="00C70909" w:rsidRPr="00E84CFD" w:rsidRDefault="00BA1445">
      <w:pPr>
        <w:rPr>
          <w:rFonts w:ascii="Bookman Old Style" w:hAnsi="Bookman Old Style"/>
        </w:rPr>
      </w:pPr>
      <w:r>
        <w:rPr>
          <w:rFonts w:ascii="Bookman Old Style" w:hAnsi="Bookman Old Style"/>
        </w:rPr>
        <w:t xml:space="preserve"> </w:t>
      </w:r>
    </w:p>
    <w:sectPr w:rsidR="00C70909" w:rsidRPr="00E84CFD" w:rsidSect="00A27E7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63C3D" w14:textId="77777777" w:rsidR="00D61088" w:rsidRDefault="00D61088" w:rsidP="00BA1445">
      <w:pPr>
        <w:spacing w:after="0" w:line="240" w:lineRule="auto"/>
      </w:pPr>
      <w:r>
        <w:separator/>
      </w:r>
    </w:p>
  </w:endnote>
  <w:endnote w:type="continuationSeparator" w:id="0">
    <w:p w14:paraId="1F7952E6" w14:textId="77777777" w:rsidR="00D61088" w:rsidRDefault="00D61088" w:rsidP="00BA1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DINO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295972"/>
      <w:docPartObj>
        <w:docPartGallery w:val="Page Numbers (Bottom of Page)"/>
        <w:docPartUnique/>
      </w:docPartObj>
    </w:sdtPr>
    <w:sdtEndPr/>
    <w:sdtContent>
      <w:p w14:paraId="7D1641FA" w14:textId="77777777" w:rsidR="00BA1445" w:rsidRDefault="00D61088">
        <w:pPr>
          <w:pStyle w:val="Pieddepage"/>
        </w:pPr>
        <w:r>
          <w:rPr>
            <w:noProof/>
            <w:lang w:eastAsia="zh-TW"/>
          </w:rPr>
          <w:pict w14:anchorId="611D69A1">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14:paraId="406A41A5" w14:textId="77777777" w:rsidR="00BA1445" w:rsidRDefault="00384B03">
                    <w:pPr>
                      <w:jc w:val="center"/>
                    </w:pPr>
                    <w:r>
                      <w:fldChar w:fldCharType="begin"/>
                    </w:r>
                    <w:r>
                      <w:instrText xml:space="preserve"> PAGE    \* MERGEFORMAT </w:instrText>
                    </w:r>
                    <w:r>
                      <w:fldChar w:fldCharType="separate"/>
                    </w:r>
                    <w:r w:rsidR="00CA125E" w:rsidRPr="00CA125E">
                      <w:rPr>
                        <w:noProof/>
                        <w:sz w:val="16"/>
                        <w:szCs w:val="16"/>
                      </w:rPr>
                      <w:t>1</w:t>
                    </w:r>
                    <w:r>
                      <w:rPr>
                        <w:noProof/>
                        <w:sz w:val="16"/>
                        <w:szCs w:val="16"/>
                      </w:rPr>
                      <w:fldChar w:fldCharType="end"/>
                    </w:r>
                  </w:p>
                </w:txbxContent>
              </v:textbox>
              <w10:wrap anchorx="page" anchory="page"/>
            </v:shape>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37987" w14:textId="77777777" w:rsidR="00D61088" w:rsidRDefault="00D61088" w:rsidP="00BA1445">
      <w:pPr>
        <w:spacing w:after="0" w:line="240" w:lineRule="auto"/>
      </w:pPr>
      <w:r>
        <w:separator/>
      </w:r>
    </w:p>
  </w:footnote>
  <w:footnote w:type="continuationSeparator" w:id="0">
    <w:p w14:paraId="3554A0DC" w14:textId="77777777" w:rsidR="00D61088" w:rsidRDefault="00D61088" w:rsidP="00BA14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3A5297"/>
    <w:multiLevelType w:val="hybridMultilevel"/>
    <w:tmpl w:val="CFF47D6A"/>
    <w:lvl w:ilvl="0" w:tplc="D2E88EC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0909"/>
    <w:rsid w:val="00384B03"/>
    <w:rsid w:val="00560BAB"/>
    <w:rsid w:val="006C1CD8"/>
    <w:rsid w:val="00757C3F"/>
    <w:rsid w:val="007F1E74"/>
    <w:rsid w:val="009B7E25"/>
    <w:rsid w:val="00A27B1D"/>
    <w:rsid w:val="00A27E78"/>
    <w:rsid w:val="00AE06C6"/>
    <w:rsid w:val="00BA1445"/>
    <w:rsid w:val="00BC65AB"/>
    <w:rsid w:val="00C70909"/>
    <w:rsid w:val="00CA125E"/>
    <w:rsid w:val="00D61088"/>
    <w:rsid w:val="00E167DC"/>
    <w:rsid w:val="00E84CFD"/>
    <w:rsid w:val="00EF79C2"/>
    <w:rsid w:val="00F03133"/>
    <w:rsid w:val="00F269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9D3FD47"/>
  <w15:docId w15:val="{2133D85F-D4BC-4F4B-ADB5-D94B2307E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909"/>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70909"/>
    <w:pPr>
      <w:ind w:left="720"/>
      <w:contextualSpacing/>
    </w:pPr>
  </w:style>
  <w:style w:type="paragraph" w:styleId="En-tte">
    <w:name w:val="header"/>
    <w:basedOn w:val="Normal"/>
    <w:link w:val="En-tteCar"/>
    <w:uiPriority w:val="99"/>
    <w:semiHidden/>
    <w:unhideWhenUsed/>
    <w:rsid w:val="00BA144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A1445"/>
    <w:rPr>
      <w:rFonts w:ascii="Calibri" w:eastAsia="Calibri" w:hAnsi="Calibri" w:cs="Times New Roman"/>
    </w:rPr>
  </w:style>
  <w:style w:type="paragraph" w:styleId="Pieddepage">
    <w:name w:val="footer"/>
    <w:basedOn w:val="Normal"/>
    <w:link w:val="PieddepageCar"/>
    <w:uiPriority w:val="99"/>
    <w:semiHidden/>
    <w:unhideWhenUsed/>
    <w:rsid w:val="00BA144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BA144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394</Words>
  <Characters>2171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SHINE</cp:lastModifiedBy>
  <cp:revision>6</cp:revision>
  <dcterms:created xsi:type="dcterms:W3CDTF">2018-09-16T15:57:00Z</dcterms:created>
  <dcterms:modified xsi:type="dcterms:W3CDTF">2021-09-22T12:56:00Z</dcterms:modified>
</cp:coreProperties>
</file>